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876AD7" w:rsidP="001118F6">
      <w:pPr>
        <w:pStyle w:val="Nagwek1"/>
        <w:rPr>
          <w:rFonts w:ascii="Arial" w:hAnsi="Arial" w:cs="Arial"/>
          <w:sz w:val="24"/>
          <w:szCs w:val="24"/>
        </w:rPr>
      </w:pPr>
      <w:r>
        <w:rPr>
          <w:rFonts w:ascii="Arial" w:hAnsi="Arial" w:cs="Arial"/>
          <w:sz w:val="24"/>
          <w:szCs w:val="24"/>
        </w:rPr>
        <w:t>BDO/NB/2023</w:t>
      </w:r>
      <w:r w:rsidR="00DA2499">
        <w:rPr>
          <w:rFonts w:ascii="Arial" w:hAnsi="Arial" w:cs="Arial"/>
          <w:sz w:val="24"/>
          <w:szCs w:val="24"/>
        </w:rPr>
        <w:t>/070</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sportu profesjonal</w:t>
      </w:r>
      <w:r w:rsidR="00876AD7">
        <w:rPr>
          <w:rFonts w:ascii="Arial" w:hAnsi="Arial" w:cs="Arial"/>
          <w:sz w:val="24"/>
          <w:szCs w:val="24"/>
        </w:rPr>
        <w:t xml:space="preserve">nego w dyscyplinach halowych- </w:t>
      </w:r>
      <w:r w:rsidR="0071142D">
        <w:rPr>
          <w:rFonts w:ascii="Arial" w:hAnsi="Arial" w:cs="Arial"/>
          <w:sz w:val="24"/>
          <w:szCs w:val="24"/>
        </w:rPr>
        <w:t>I</w:t>
      </w:r>
      <w:r w:rsidR="00876AD7">
        <w:rPr>
          <w:rFonts w:ascii="Arial" w:hAnsi="Arial" w:cs="Arial"/>
          <w:sz w:val="24"/>
          <w:szCs w:val="24"/>
        </w:rPr>
        <w:t>I półrocze 2023</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bookmarkStart w:id="0" w:name="_GoBack"/>
      <w:bookmarkEnd w:id="0"/>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profesjonalne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wspier</w:t>
      </w:r>
      <w:r w:rsidR="003B54B2">
        <w:rPr>
          <w:rFonts w:ascii="Arial" w:hAnsi="Arial" w:cs="Arial"/>
          <w:sz w:val="24"/>
          <w:szCs w:val="24"/>
        </w:rPr>
        <w:t>anie</w:t>
      </w:r>
      <w:r w:rsidR="00655C9C">
        <w:rPr>
          <w:rFonts w:ascii="Arial" w:hAnsi="Arial" w:cs="Arial"/>
          <w:sz w:val="24"/>
          <w:szCs w:val="24"/>
        </w:rPr>
        <w:t xml:space="preserve"> procesu profesjonalnego szkolenia sportowego (m.in. udział w rozgrywkach, prowadzenie zajęć treningowych), a także promocja Miasta Szczecin poprzez udział klubów w rozgrywkach na poziomie najwyższej klasy rozgrywkowej</w:t>
      </w:r>
      <w:r w:rsidR="0071142D">
        <w:rPr>
          <w:rFonts w:ascii="Arial" w:hAnsi="Arial" w:cs="Arial"/>
          <w:sz w:val="24"/>
          <w:szCs w:val="24"/>
        </w:rPr>
        <w:t xml:space="preserve"> bądź lidze centralnej</w:t>
      </w:r>
      <w:r w:rsidR="00655C9C">
        <w:rPr>
          <w:rFonts w:ascii="Arial" w:hAnsi="Arial" w:cs="Arial"/>
          <w:sz w:val="24"/>
          <w:szCs w:val="24"/>
        </w:rPr>
        <w:t xml:space="preserve"> seniorów oraz poprzez wyniki sportowe.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4. Wysokość środków publicznych przeznaczonych na realizację zadania:</w:t>
      </w:r>
    </w:p>
    <w:p w:rsidR="001118F6" w:rsidRPr="00DF41C4" w:rsidRDefault="001118F6" w:rsidP="001118F6">
      <w:pPr>
        <w:spacing w:after="100" w:line="360" w:lineRule="auto"/>
        <w:rPr>
          <w:rFonts w:ascii="Arial" w:hAnsi="Arial" w:cs="Arial"/>
          <w:color w:val="auto"/>
          <w:sz w:val="24"/>
          <w:szCs w:val="24"/>
        </w:rPr>
      </w:pPr>
      <w:r w:rsidRPr="00DF41C4">
        <w:rPr>
          <w:rFonts w:ascii="Arial" w:hAnsi="Arial" w:cs="Arial"/>
          <w:color w:val="auto"/>
          <w:sz w:val="24"/>
          <w:szCs w:val="24"/>
        </w:rPr>
        <w:t xml:space="preserve">Wysokość środków Gminy Miasto Szczecin przeznaczonych na realizację zadania wynosi </w:t>
      </w:r>
      <w:r w:rsidR="0071142D">
        <w:rPr>
          <w:rFonts w:ascii="Arial" w:hAnsi="Arial" w:cs="Arial"/>
          <w:color w:val="auto"/>
          <w:sz w:val="24"/>
          <w:szCs w:val="24"/>
        </w:rPr>
        <w:t>1</w:t>
      </w:r>
      <w:r w:rsidR="00DF41C4" w:rsidRPr="00DF41C4">
        <w:rPr>
          <w:rFonts w:ascii="Arial" w:hAnsi="Arial" w:cs="Arial"/>
          <w:color w:val="auto"/>
          <w:sz w:val="24"/>
          <w:szCs w:val="24"/>
        </w:rPr>
        <w:t xml:space="preserve"> </w:t>
      </w:r>
      <w:r w:rsidR="0071142D">
        <w:rPr>
          <w:rFonts w:ascii="Arial" w:hAnsi="Arial" w:cs="Arial"/>
          <w:color w:val="auto"/>
          <w:sz w:val="24"/>
          <w:szCs w:val="24"/>
        </w:rPr>
        <w:t>925</w:t>
      </w:r>
      <w:r w:rsidR="00876AD7" w:rsidRPr="00DF41C4">
        <w:rPr>
          <w:rFonts w:ascii="Arial" w:hAnsi="Arial" w:cs="Arial"/>
          <w:color w:val="auto"/>
          <w:sz w:val="24"/>
          <w:szCs w:val="24"/>
        </w:rPr>
        <w:t> 0</w:t>
      </w:r>
      <w:r w:rsidR="00DF41C4" w:rsidRPr="00DF41C4">
        <w:rPr>
          <w:rFonts w:ascii="Arial" w:hAnsi="Arial" w:cs="Arial"/>
          <w:color w:val="auto"/>
          <w:sz w:val="24"/>
          <w:szCs w:val="24"/>
        </w:rPr>
        <w:t xml:space="preserve">00,00 zł (słownie: </w:t>
      </w:r>
      <w:r w:rsidR="0071142D">
        <w:rPr>
          <w:rFonts w:ascii="Arial" w:hAnsi="Arial" w:cs="Arial"/>
          <w:color w:val="auto"/>
          <w:sz w:val="24"/>
          <w:szCs w:val="24"/>
        </w:rPr>
        <w:t>jeden milion</w:t>
      </w:r>
      <w:r w:rsidR="00DF41C4" w:rsidRPr="00DF41C4">
        <w:rPr>
          <w:rFonts w:ascii="Arial" w:hAnsi="Arial" w:cs="Arial"/>
          <w:color w:val="auto"/>
          <w:sz w:val="24"/>
          <w:szCs w:val="24"/>
        </w:rPr>
        <w:t xml:space="preserve"> </w:t>
      </w:r>
      <w:r w:rsidR="0071142D">
        <w:rPr>
          <w:rFonts w:ascii="Arial" w:hAnsi="Arial" w:cs="Arial"/>
          <w:color w:val="auto"/>
          <w:sz w:val="24"/>
          <w:szCs w:val="24"/>
        </w:rPr>
        <w:t>dziewięćset dwadzieścia pięć</w:t>
      </w:r>
      <w:r w:rsidR="00DF41C4" w:rsidRPr="00DF41C4">
        <w:rPr>
          <w:rFonts w:ascii="Arial" w:hAnsi="Arial" w:cs="Arial"/>
          <w:color w:val="auto"/>
          <w:sz w:val="24"/>
          <w:szCs w:val="24"/>
        </w:rPr>
        <w:t xml:space="preserve"> </w:t>
      </w:r>
      <w:r w:rsidRPr="00DF41C4">
        <w:rPr>
          <w:rFonts w:ascii="Arial" w:hAnsi="Arial" w:cs="Arial"/>
          <w:color w:val="auto"/>
          <w:sz w:val="24"/>
          <w:szCs w:val="24"/>
        </w:rPr>
        <w:t>tysięcy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 xml:space="preserve">acja musi wykazać przynajmniej </w:t>
      </w:r>
      <w:r w:rsidR="001B6108" w:rsidRPr="00DF41C4">
        <w:rPr>
          <w:rFonts w:ascii="Arial" w:hAnsi="Arial" w:cs="Arial"/>
          <w:color w:val="auto"/>
          <w:sz w:val="24"/>
          <w:szCs w:val="24"/>
        </w:rPr>
        <w:t>1</w:t>
      </w:r>
      <w:r w:rsidRPr="00DF41C4">
        <w:rPr>
          <w:rFonts w:ascii="Arial" w:hAnsi="Arial" w:cs="Arial"/>
          <w:color w:val="auto"/>
          <w:sz w:val="24"/>
          <w:szCs w:val="24"/>
        </w:rPr>
        <w:t xml:space="preserve">0 % </w:t>
      </w:r>
      <w:r w:rsidRPr="001118F6">
        <w:rPr>
          <w:rFonts w:ascii="Arial" w:hAnsi="Arial" w:cs="Arial"/>
          <w:sz w:val="24"/>
          <w:szCs w:val="24"/>
        </w:rPr>
        <w:t>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3C5E68" w:rsidRDefault="003C5E68" w:rsidP="003C5E68">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3C5E68" w:rsidRDefault="003C5E68" w:rsidP="003C5E68">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3C5E68" w:rsidRPr="00466548" w:rsidRDefault="003C5E68" w:rsidP="003C5E68">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Uchwała Nr XLIV/1243/22 Rady Miasta Szczecin z dnia 22 listopada 2022 r. w sprawie Programu współpracy Gminy Miasto Szczecin z organizacjami pozarządowymi oraz innymi podmiotami prowadzącymi działalność pożytku publicznego na 2023 rok;</w:t>
      </w:r>
    </w:p>
    <w:p w:rsidR="003C5E68" w:rsidRPr="00466548" w:rsidRDefault="003C5E68" w:rsidP="003C5E68">
      <w:pPr>
        <w:numPr>
          <w:ilvl w:val="0"/>
          <w:numId w:val="1"/>
        </w:numPr>
        <w:spacing w:line="360" w:lineRule="auto"/>
        <w:ind w:left="357" w:hanging="357"/>
        <w:rPr>
          <w:rFonts w:ascii="Arial" w:hAnsi="Arial" w:cs="Arial"/>
          <w:color w:val="auto"/>
          <w:sz w:val="24"/>
          <w:szCs w:val="24"/>
        </w:rPr>
      </w:pPr>
      <w:r w:rsidRPr="00430147">
        <w:rPr>
          <w:rFonts w:ascii="Arial" w:hAnsi="Arial" w:cs="Arial"/>
          <w:color w:val="auto"/>
          <w:sz w:val="24"/>
          <w:szCs w:val="24"/>
        </w:rPr>
        <w:t>Uchwała Nr XLV/1244/22 Rady Miasta Szczecin z dnia 14 grudnia 2022 r. w sprawie budżetu Miasta Szczecin na 2023 rok</w:t>
      </w:r>
      <w:r w:rsidRPr="00466548">
        <w:rPr>
          <w:rFonts w:ascii="Arial" w:hAnsi="Arial" w:cs="Arial"/>
          <w:color w:val="auto"/>
          <w:sz w:val="24"/>
          <w:szCs w:val="24"/>
        </w:rPr>
        <w:t>;</w:t>
      </w:r>
    </w:p>
    <w:p w:rsidR="003C5E68" w:rsidRDefault="003C5E68" w:rsidP="003C5E68">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3C5E68" w:rsidRDefault="003C5E68" w:rsidP="003C5E68">
      <w:pPr>
        <w:numPr>
          <w:ilvl w:val="0"/>
          <w:numId w:val="1"/>
        </w:numPr>
        <w:spacing w:line="360" w:lineRule="auto"/>
        <w:ind w:left="357" w:hanging="357"/>
        <w:rPr>
          <w:rFonts w:ascii="Arial" w:hAnsi="Arial" w:cs="Arial"/>
          <w:sz w:val="24"/>
          <w:szCs w:val="24"/>
        </w:rPr>
      </w:pPr>
      <w:r>
        <w:rPr>
          <w:rFonts w:ascii="Arial" w:hAnsi="Arial" w:cs="Arial"/>
          <w:sz w:val="24"/>
          <w:szCs w:val="24"/>
        </w:rPr>
        <w:t>Zarządzenie</w:t>
      </w:r>
      <w:r w:rsidRPr="001118F6">
        <w:rPr>
          <w:rFonts w:ascii="Arial" w:hAnsi="Arial" w:cs="Arial"/>
          <w:sz w:val="24"/>
          <w:szCs w:val="24"/>
        </w:rPr>
        <w:t xml:space="preserve"> Nr 393/21 Prezydenta Miasta Szczecin z dnia 31 lipca 2021 r. dotyczącego zasad używania w obrocie znaków identyfikujących Gminę</w:t>
      </w:r>
      <w:r>
        <w:rPr>
          <w:rFonts w:ascii="Arial" w:hAnsi="Arial" w:cs="Arial"/>
          <w:sz w:val="24"/>
          <w:szCs w:val="24"/>
        </w:rPr>
        <w:t xml:space="preserve"> Miasto Szczecin;</w:t>
      </w:r>
    </w:p>
    <w:p w:rsidR="003C5E68" w:rsidRDefault="003C5E68" w:rsidP="003C5E68">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Pr="001118F6">
        <w:rPr>
          <w:rFonts w:ascii="Arial" w:hAnsi="Arial" w:cs="Arial"/>
          <w:sz w:val="24"/>
          <w:szCs w:val="24"/>
        </w:rPr>
        <w:t xml:space="preserve"> z dni</w:t>
      </w:r>
      <w:r>
        <w:rPr>
          <w:rFonts w:ascii="Arial" w:hAnsi="Arial" w:cs="Arial"/>
          <w:sz w:val="24"/>
          <w:szCs w:val="24"/>
        </w:rPr>
        <w:t>a 25 czerwca 2010 r. o sporcie;</w:t>
      </w:r>
    </w:p>
    <w:p w:rsidR="003C5E68" w:rsidRDefault="003C5E68" w:rsidP="003C5E68">
      <w:pPr>
        <w:numPr>
          <w:ilvl w:val="0"/>
          <w:numId w:val="1"/>
        </w:numPr>
        <w:spacing w:line="360" w:lineRule="auto"/>
        <w:ind w:left="357" w:hanging="357"/>
        <w:rPr>
          <w:rFonts w:ascii="Arial" w:hAnsi="Arial" w:cs="Arial"/>
          <w:sz w:val="24"/>
          <w:szCs w:val="24"/>
        </w:rPr>
      </w:pPr>
      <w:r>
        <w:rPr>
          <w:rFonts w:ascii="Arial" w:hAnsi="Arial" w:cs="Arial"/>
          <w:sz w:val="24"/>
          <w:szCs w:val="24"/>
        </w:rPr>
        <w:t>Uchwała</w:t>
      </w:r>
      <w:r w:rsidRPr="001118F6">
        <w:rPr>
          <w:rFonts w:ascii="Arial" w:hAnsi="Arial" w:cs="Arial"/>
          <w:sz w:val="24"/>
          <w:szCs w:val="24"/>
        </w:rPr>
        <w:t xml:space="preserve">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3C5E68" w:rsidP="003C5E68">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Pr="001118F6">
        <w:rPr>
          <w:rFonts w:ascii="Arial" w:hAnsi="Arial" w:cs="Arial"/>
          <w:sz w:val="24"/>
          <w:szCs w:val="24"/>
        </w:rPr>
        <w:t xml:space="preserve"> z dnia 19 lipca 2019 r.,</w:t>
      </w:r>
      <w:r>
        <w:rPr>
          <w:rFonts w:ascii="Arial" w:hAnsi="Arial" w:cs="Arial"/>
          <w:sz w:val="24"/>
          <w:szCs w:val="24"/>
        </w:rPr>
        <w:t xml:space="preserve"> o zapewnieniu dostępności osobom</w:t>
      </w:r>
      <w:r w:rsidRPr="001118F6">
        <w:rPr>
          <w:rFonts w:ascii="Arial" w:hAnsi="Arial" w:cs="Arial"/>
          <w:sz w:val="24"/>
          <w:szCs w:val="24"/>
        </w:rPr>
        <w:t xml:space="preserve">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162D96" w:rsidP="001118F6">
      <w:pPr>
        <w:spacing w:after="100" w:line="360" w:lineRule="auto"/>
        <w:rPr>
          <w:rFonts w:ascii="Arial" w:hAnsi="Arial" w:cs="Arial"/>
          <w:sz w:val="24"/>
          <w:szCs w:val="24"/>
        </w:rPr>
      </w:pPr>
      <w:r>
        <w:rPr>
          <w:rFonts w:ascii="Arial" w:hAnsi="Arial" w:cs="Arial"/>
          <w:sz w:val="24"/>
          <w:szCs w:val="24"/>
        </w:rPr>
        <w:t xml:space="preserve">od dnia </w:t>
      </w:r>
      <w:r w:rsidR="0071142D">
        <w:rPr>
          <w:rFonts w:ascii="Arial" w:hAnsi="Arial" w:cs="Arial"/>
          <w:sz w:val="24"/>
          <w:szCs w:val="24"/>
        </w:rPr>
        <w:t>16</w:t>
      </w:r>
      <w:r w:rsidR="00DC02FE">
        <w:rPr>
          <w:rFonts w:ascii="Arial" w:hAnsi="Arial" w:cs="Arial"/>
          <w:sz w:val="24"/>
          <w:szCs w:val="24"/>
        </w:rPr>
        <w:t>.0</w:t>
      </w:r>
      <w:r w:rsidR="0071142D">
        <w:rPr>
          <w:rFonts w:ascii="Arial" w:hAnsi="Arial" w:cs="Arial"/>
          <w:sz w:val="24"/>
          <w:szCs w:val="24"/>
        </w:rPr>
        <w:t>6</w:t>
      </w:r>
      <w:r w:rsidR="00DC02FE">
        <w:rPr>
          <w:rFonts w:ascii="Arial" w:hAnsi="Arial" w:cs="Arial"/>
          <w:sz w:val="24"/>
          <w:szCs w:val="24"/>
        </w:rPr>
        <w:t>.2023</w:t>
      </w:r>
      <w:r w:rsidR="001118F6">
        <w:rPr>
          <w:rFonts w:ascii="Arial" w:hAnsi="Arial" w:cs="Arial"/>
          <w:sz w:val="24"/>
          <w:szCs w:val="24"/>
        </w:rPr>
        <w:t xml:space="preserve"> r. do dnia </w:t>
      </w:r>
      <w:r w:rsidR="0071142D">
        <w:rPr>
          <w:rFonts w:ascii="Arial" w:hAnsi="Arial" w:cs="Arial"/>
          <w:sz w:val="24"/>
          <w:szCs w:val="24"/>
        </w:rPr>
        <w:t>31</w:t>
      </w:r>
      <w:r w:rsidR="00DC02FE">
        <w:rPr>
          <w:rFonts w:ascii="Arial" w:hAnsi="Arial" w:cs="Arial"/>
          <w:sz w:val="24"/>
          <w:szCs w:val="24"/>
        </w:rPr>
        <w:t>.</w:t>
      </w:r>
      <w:r w:rsidR="0071142D">
        <w:rPr>
          <w:rFonts w:ascii="Arial" w:hAnsi="Arial" w:cs="Arial"/>
          <w:sz w:val="24"/>
          <w:szCs w:val="24"/>
        </w:rPr>
        <w:t>12</w:t>
      </w:r>
      <w:r w:rsidR="00DC02FE">
        <w:rPr>
          <w:rFonts w:ascii="Arial" w:hAnsi="Arial" w:cs="Arial"/>
          <w:sz w:val="24"/>
          <w:szCs w:val="24"/>
        </w:rPr>
        <w:t>.2023</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3C5E68">
        <w:rPr>
          <w:rFonts w:ascii="Arial" w:hAnsi="Arial" w:cs="Arial"/>
          <w:sz w:val="24"/>
          <w:szCs w:val="24"/>
        </w:rPr>
        <w:t xml:space="preserve"> </w:t>
      </w:r>
      <w:r w:rsidRPr="001118F6">
        <w:rPr>
          <w:rFonts w:ascii="Arial" w:hAnsi="Arial" w:cs="Arial"/>
          <w:sz w:val="24"/>
          <w:szCs w:val="24"/>
        </w:rPr>
        <w:t>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118F6">
        <w:rPr>
          <w:rFonts w:ascii="Arial" w:hAnsi="Arial" w:cs="Arial"/>
          <w:sz w:val="24"/>
          <w:szCs w:val="24"/>
        </w:rPr>
        <w:lastRenderedPageBreak/>
        <w:t>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lastRenderedPageBreak/>
        <w:t xml:space="preserve"> </w:t>
      </w:r>
      <w:r w:rsidR="001118F6" w:rsidRPr="001118F6">
        <w:rPr>
          <w:rFonts w:ascii="Arial" w:hAnsi="Arial" w:cs="Arial"/>
          <w:sz w:val="24"/>
          <w:szCs w:val="24"/>
        </w:rPr>
        <w:t>W przypadku złożenia oferty wspólnej niedozwolone są przepływy finansowe między oferentami realizującymi zadanie.</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Szczegółowe warunki realizacji zadania reguluje umowa zawarta pomiędzy Gminą Miasto Szczecin a Organizacją.</w:t>
      </w:r>
    </w:p>
    <w:p w:rsidR="001118F6" w:rsidRPr="001118F6" w:rsidRDefault="003C5E68" w:rsidP="004423FC">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3C5E68"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 xml:space="preserve">Organizacja, której oferta zostanie wybrana do realizacji zadania publicznego jest zobowiązana do przedłożenie wraz ze sprawozdaniem, wykazu faktur sporządzonego w pliku </w:t>
      </w:r>
      <w:r w:rsidR="00EC0956" w:rsidRPr="001118F6">
        <w:rPr>
          <w:rFonts w:ascii="Arial" w:hAnsi="Arial" w:cs="Arial"/>
          <w:sz w:val="24"/>
          <w:szCs w:val="24"/>
        </w:rPr>
        <w:t>Excel</w:t>
      </w:r>
      <w:r w:rsidR="00EC0956">
        <w:rPr>
          <w:rFonts w:ascii="Arial" w:hAnsi="Arial" w:cs="Arial"/>
          <w:sz w:val="24"/>
          <w:szCs w:val="24"/>
        </w:rPr>
        <w:t xml:space="preserve"> </w:t>
      </w:r>
      <w:r w:rsidR="00EC0956" w:rsidRPr="001118F6">
        <w:rPr>
          <w:rFonts w:ascii="Arial" w:hAnsi="Arial" w:cs="Arial"/>
          <w:sz w:val="24"/>
          <w:szCs w:val="24"/>
        </w:rPr>
        <w:t xml:space="preserve">udostępnionym </w:t>
      </w:r>
      <w:r w:rsidR="00EC0956">
        <w:rPr>
          <w:rFonts w:ascii="Arial" w:hAnsi="Arial" w:cs="Arial"/>
          <w:sz w:val="24"/>
          <w:szCs w:val="24"/>
        </w:rPr>
        <w:t>przez Gminę Miasto Szczecin</w:t>
      </w:r>
      <w:r w:rsidR="001118F6" w:rsidRPr="001118F6">
        <w:rPr>
          <w:rFonts w:ascii="Arial" w:hAnsi="Arial" w:cs="Arial"/>
          <w:sz w:val="24"/>
          <w:szCs w:val="24"/>
        </w:rPr>
        <w:t>.</w:t>
      </w:r>
    </w:p>
    <w:p w:rsidR="001118F6" w:rsidRDefault="003C5E68"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posiadają drużynę uczestniczącą w rozgrywkach na poziomie najwyższej klasy rozg</w:t>
      </w:r>
      <w:r w:rsidR="006E5495">
        <w:rPr>
          <w:rFonts w:ascii="Arial" w:hAnsi="Arial" w:cs="Arial"/>
          <w:sz w:val="24"/>
          <w:szCs w:val="24"/>
        </w:rPr>
        <w:t>rywkowej seniorów</w:t>
      </w:r>
      <w:r w:rsidR="0071142D">
        <w:rPr>
          <w:rFonts w:ascii="Arial" w:hAnsi="Arial" w:cs="Arial"/>
          <w:sz w:val="24"/>
          <w:szCs w:val="24"/>
        </w:rPr>
        <w:t xml:space="preserve"> (lub występowały w niej w poprzednim sezonie)</w:t>
      </w:r>
      <w:r w:rsidR="006E5495">
        <w:rPr>
          <w:rFonts w:ascii="Arial" w:hAnsi="Arial" w:cs="Arial"/>
          <w:sz w:val="24"/>
          <w:szCs w:val="24"/>
        </w:rPr>
        <w:t xml:space="preserve"> w Polsce w dyscyplinach halowych,</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6E5495" w:rsidRDefault="003B54B2"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posiadają grupy młodzieżowe</w:t>
      </w:r>
      <w:r w:rsidR="006E5495">
        <w:rPr>
          <w:rFonts w:ascii="Arial" w:hAnsi="Arial" w:cs="Arial"/>
          <w:sz w:val="24"/>
          <w:szCs w:val="24"/>
        </w:rPr>
        <w:t xml:space="preserve"> lub mają podpisaną umowę o współpracy dotyczącej szkolenia dzieci i młodzieży z innym klubem lub klubami w tej samej dyscyplinie sportowej,</w:t>
      </w:r>
    </w:p>
    <w:p w:rsidR="00C7671F" w:rsidRDefault="003C5E68"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3C5E68"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organizacji i uczestnictwa zawodników w konsultacjach, zgrupowaniach i zawodach sportowych (w tym m.in. zakwaterowanie, wyżywienie, przejazdy, </w:t>
      </w:r>
      <w:r w:rsidRPr="001118F6">
        <w:rPr>
          <w:rFonts w:ascii="Arial" w:hAnsi="Arial" w:cs="Arial"/>
          <w:sz w:val="24"/>
          <w:szCs w:val="24"/>
        </w:rPr>
        <w:lastRenderedPageBreak/>
        <w:t>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3C5E68" w:rsidP="004423FC">
      <w:pPr>
        <w:numPr>
          <w:ilvl w:val="0"/>
          <w:numId w:val="25"/>
        </w:numPr>
        <w:spacing w:line="360" w:lineRule="auto"/>
        <w:rPr>
          <w:rFonts w:ascii="Arial" w:hAnsi="Arial" w:cs="Arial"/>
          <w:sz w:val="24"/>
          <w:szCs w:val="24"/>
        </w:rPr>
      </w:pPr>
      <w:r>
        <w:rPr>
          <w:rFonts w:ascii="Arial" w:hAnsi="Arial" w:cs="Arial"/>
          <w:sz w:val="24"/>
          <w:szCs w:val="24"/>
        </w:rPr>
        <w:t xml:space="preserve"> </w:t>
      </w:r>
      <w:r w:rsidR="001118F6"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3C5E68" w:rsidP="00247F2B">
      <w:pPr>
        <w:pStyle w:val="Akapitzlist"/>
        <w:numPr>
          <w:ilvl w:val="0"/>
          <w:numId w:val="25"/>
        </w:numPr>
        <w:spacing w:line="360" w:lineRule="auto"/>
        <w:rPr>
          <w:rFonts w:ascii="Arial" w:hAnsi="Arial" w:cs="Arial"/>
          <w:sz w:val="24"/>
          <w:szCs w:val="24"/>
        </w:rPr>
      </w:pPr>
      <w:r>
        <w:rPr>
          <w:rFonts w:ascii="Arial" w:hAnsi="Arial" w:cs="Arial"/>
          <w:sz w:val="24"/>
          <w:szCs w:val="24"/>
        </w:rPr>
        <w:t xml:space="preserve"> </w:t>
      </w:r>
      <w:r w:rsidR="006E5495"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(zwanej</w:t>
      </w:r>
      <w:r w:rsidR="008E2D56">
        <w:rPr>
          <w:rFonts w:ascii="Arial" w:hAnsi="Arial" w:cs="Arial"/>
          <w:sz w:val="24"/>
          <w:szCs w:val="24"/>
        </w:rPr>
        <w:t xml:space="preserve"> dalej platformą) w terminie do</w:t>
      </w:r>
      <w:r w:rsidR="008E2D56" w:rsidRPr="008E2D56">
        <w:rPr>
          <w:rFonts w:ascii="Arial" w:hAnsi="Arial" w:cs="Arial"/>
          <w:sz w:val="24"/>
          <w:szCs w:val="24"/>
        </w:rPr>
        <w:t xml:space="preserve"> </w:t>
      </w:r>
      <w:r w:rsidR="008E2D56">
        <w:rPr>
          <w:rFonts w:ascii="Arial" w:hAnsi="Arial" w:cs="Arial"/>
          <w:sz w:val="24"/>
          <w:szCs w:val="24"/>
        </w:rPr>
        <w:t>30.05</w:t>
      </w:r>
      <w:r w:rsidR="008E2D56" w:rsidRPr="008E2D56">
        <w:rPr>
          <w:rFonts w:ascii="Arial" w:hAnsi="Arial" w:cs="Arial"/>
          <w:sz w:val="24"/>
          <w:szCs w:val="24"/>
        </w:rPr>
        <w:t>.2023 r., do godziny 15.00</w:t>
      </w:r>
      <w:r w:rsidR="008E2D56">
        <w:rPr>
          <w:rFonts w:ascii="Arial" w:hAnsi="Arial" w:cs="Arial"/>
          <w:sz w:val="24"/>
          <w:szCs w:val="24"/>
        </w:rPr>
        <w: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lastRenderedPageBreak/>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5C38B5">
            <w:pPr>
              <w:spacing w:after="40" w:line="360" w:lineRule="auto"/>
              <w:rPr>
                <w:rFonts w:ascii="Arial" w:hAnsi="Arial" w:cs="Arial"/>
                <w:sz w:val="24"/>
                <w:szCs w:val="24"/>
              </w:rPr>
            </w:pPr>
            <w:r w:rsidRPr="00C7671F">
              <w:rPr>
                <w:rFonts w:ascii="Arial" w:hAnsi="Arial" w:cs="Arial"/>
                <w:bCs/>
                <w:sz w:val="24"/>
                <w:szCs w:val="24"/>
              </w:rPr>
              <w:t xml:space="preserve">Plan organizacji systemu szkolenia lub informację o posiadanych grupach młodzieżowych (ilość, liczebność z podziałem na kategorie wiekowe, listy imienne, kadra szkoleniowa,) lub kopie umowy o współpracy dotyczącej szkolenia dzieci i młodzieży z innym klubem w </w:t>
            </w:r>
            <w:r w:rsidR="005C38B5">
              <w:rPr>
                <w:rFonts w:ascii="Arial" w:hAnsi="Arial" w:cs="Arial"/>
                <w:bCs/>
                <w:sz w:val="24"/>
                <w:szCs w:val="24"/>
              </w:rPr>
              <w:t>tej samej dyscyplinie sportowe.</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Dysponent/jednostka miejska, stwierdza kompletność wymaganych informacji merytorycznych określonych w pkt 9 ogłoszenia oraz zgodność celów statutowych </w:t>
      </w:r>
      <w:r w:rsidRPr="001118F6">
        <w:rPr>
          <w:rFonts w:ascii="Arial" w:hAnsi="Arial" w:cs="Arial"/>
          <w:sz w:val="24"/>
          <w:szCs w:val="24"/>
        </w:rPr>
        <w:lastRenderedPageBreak/>
        <w:t>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C02F9">
            <w:pPr>
              <w:spacing w:after="40" w:line="360" w:lineRule="auto"/>
              <w:rPr>
                <w:rFonts w:ascii="Arial" w:hAnsi="Arial" w:cs="Arial"/>
                <w:sz w:val="24"/>
                <w:szCs w:val="24"/>
              </w:rPr>
            </w:pPr>
            <w:r w:rsidRPr="004C02F9">
              <w:rPr>
                <w:rFonts w:ascii="Arial" w:hAnsi="Arial" w:cs="Arial"/>
                <w:bCs/>
                <w:sz w:val="24"/>
                <w:szCs w:val="24"/>
              </w:rPr>
              <w:t>Plan organizacji systemu szkolenia lub informację o posiadanych grupach młodzieżowych (ilość, liczebność z podziałem na kategorie wiekowe, listy imienne, kadra szkoleniowa,) lub kopie umowy o współpracy dotyczącej szkolenia dzieci i młodzieży z innym klubem w tej samej dyscyplinie sportowe.</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 xml:space="preserve">Ocena i analiza realizacji zleconych organizacji zadań publicznych, która w latach poprzednich realizowała zlecone zadania publiczne, biorąc pod uwagę </w:t>
            </w:r>
            <w:r w:rsidRPr="004C02F9">
              <w:rPr>
                <w:rFonts w:ascii="Arial" w:hAnsi="Arial" w:cs="Arial"/>
                <w:bCs/>
                <w:sz w:val="24"/>
                <w:szCs w:val="24"/>
              </w:rPr>
              <w:lastRenderedPageBreak/>
              <w:t>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4 947 500,00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3 553 000,00</w:t>
            </w:r>
          </w:p>
        </w:tc>
      </w:tr>
      <w:tr w:rsidR="001118F6" w:rsidRPr="001118F6" w:rsidTr="00DC02FE">
        <w:trPr>
          <w:trHeight w:val="25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3 802 280,00</w:t>
            </w:r>
          </w:p>
        </w:tc>
      </w:tr>
      <w:tr w:rsidR="00DC02FE" w:rsidRPr="001118F6" w:rsidTr="00002121">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5D2664" w:rsidRDefault="00DC02FE" w:rsidP="001118F6">
            <w:pPr>
              <w:spacing w:after="40" w:line="360" w:lineRule="auto"/>
              <w:rPr>
                <w:rFonts w:ascii="Arial" w:hAnsi="Arial" w:cs="Arial"/>
                <w:sz w:val="24"/>
                <w:szCs w:val="24"/>
              </w:rPr>
            </w:pPr>
            <w:r>
              <w:rPr>
                <w:rFonts w:ascii="Arial" w:hAnsi="Arial" w:cs="Arial"/>
                <w:sz w:val="24"/>
                <w:szCs w:val="24"/>
              </w:rPr>
              <w:t>3 800 000,00</w:t>
            </w:r>
          </w:p>
        </w:tc>
      </w:tr>
      <w:tr w:rsidR="00002121" w:rsidRPr="001118F6" w:rsidTr="00DC02FE">
        <w:trPr>
          <w:trHeight w:val="16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Pr="001118F6" w:rsidRDefault="00002121"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Default="00002121"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Default="00002121" w:rsidP="001118F6">
            <w:pPr>
              <w:spacing w:after="40" w:line="360" w:lineRule="auto"/>
              <w:rPr>
                <w:rFonts w:ascii="Arial" w:hAnsi="Arial" w:cs="Arial"/>
                <w:sz w:val="24"/>
                <w:szCs w:val="24"/>
              </w:rPr>
            </w:pPr>
            <w:r>
              <w:rPr>
                <w:rFonts w:ascii="Arial" w:hAnsi="Arial" w:cs="Arial"/>
                <w:sz w:val="24"/>
                <w:szCs w:val="24"/>
              </w:rPr>
              <w:t>2 158 000,00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DC02FE">
        <w:rPr>
          <w:rFonts w:ascii="Arial" w:hAnsi="Arial" w:cs="Arial"/>
          <w:sz w:val="24"/>
          <w:szCs w:val="24"/>
        </w:rPr>
        <w:t>Natalia Bakiera</w:t>
      </w:r>
      <w:r w:rsidRPr="001118F6">
        <w:rPr>
          <w:rFonts w:ascii="Arial" w:hAnsi="Arial" w:cs="Arial"/>
          <w:sz w:val="24"/>
          <w:szCs w:val="24"/>
        </w:rPr>
        <w:t>, tel.:</w:t>
      </w:r>
      <w:r w:rsidR="00DC02FE">
        <w:rPr>
          <w:rFonts w:ascii="Arial" w:hAnsi="Arial" w:cs="Arial"/>
          <w:sz w:val="24"/>
          <w:szCs w:val="24"/>
        </w:rPr>
        <w:t xml:space="preserve"> 91 424 51 07</w:t>
      </w:r>
      <w:r w:rsidRPr="001118F6">
        <w:rPr>
          <w:rFonts w:ascii="Arial" w:hAnsi="Arial" w:cs="Arial"/>
          <w:sz w:val="24"/>
          <w:szCs w:val="24"/>
        </w:rPr>
        <w:t xml:space="preserve"> , e-mail: </w:t>
      </w:r>
      <w:hyperlink r:id="rId8" w:history="1">
        <w:r w:rsidR="00DC02FE">
          <w:rPr>
            <w:rStyle w:val="Hipercze"/>
            <w:rFonts w:ascii="Arial" w:hAnsi="Arial" w:cs="Arial"/>
            <w:sz w:val="24"/>
            <w:szCs w:val="24"/>
          </w:rPr>
          <w:t>nbakiera</w:t>
        </w:r>
        <w:r w:rsidR="004C02F9" w:rsidRPr="00026EF2">
          <w:rPr>
            <w:rStyle w:val="Hipercze"/>
            <w:rFonts w:ascii="Arial" w:hAnsi="Arial" w:cs="Arial"/>
            <w:sz w:val="24"/>
            <w:szCs w:val="24"/>
          </w:rPr>
          <w:t>@um.szczecin.pl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w:t>
      </w:r>
      <w:r w:rsidRPr="004C02F9">
        <w:rPr>
          <w:rFonts w:ascii="Arial" w:hAnsi="Arial" w:cs="Arial"/>
          <w:sz w:val="24"/>
          <w:szCs w:val="24"/>
        </w:rPr>
        <w:lastRenderedPageBreak/>
        <w:t>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C2" w:rsidRDefault="00F15AC2">
      <w:r>
        <w:separator/>
      </w:r>
    </w:p>
  </w:endnote>
  <w:endnote w:type="continuationSeparator" w:id="0">
    <w:p w:rsidR="00F15AC2" w:rsidRDefault="00F1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C2" w:rsidRDefault="00F15AC2">
      <w:r>
        <w:separator/>
      </w:r>
    </w:p>
  </w:footnote>
  <w:footnote w:type="continuationSeparator" w:id="0">
    <w:p w:rsidR="00F15AC2" w:rsidRDefault="00F1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02121"/>
    <w:rsid w:val="00023491"/>
    <w:rsid w:val="00026EF2"/>
    <w:rsid w:val="000A165D"/>
    <w:rsid w:val="001118F6"/>
    <w:rsid w:val="00162D96"/>
    <w:rsid w:val="001B5E63"/>
    <w:rsid w:val="001B6108"/>
    <w:rsid w:val="00247F2B"/>
    <w:rsid w:val="00283313"/>
    <w:rsid w:val="00331B1F"/>
    <w:rsid w:val="003B54B2"/>
    <w:rsid w:val="003C5E68"/>
    <w:rsid w:val="004423FC"/>
    <w:rsid w:val="004C02F9"/>
    <w:rsid w:val="005C38B5"/>
    <w:rsid w:val="00634E84"/>
    <w:rsid w:val="00655C9C"/>
    <w:rsid w:val="006D1A60"/>
    <w:rsid w:val="006E5495"/>
    <w:rsid w:val="0071142D"/>
    <w:rsid w:val="00876AD7"/>
    <w:rsid w:val="008E2D56"/>
    <w:rsid w:val="00975C6E"/>
    <w:rsid w:val="009970D0"/>
    <w:rsid w:val="009D437D"/>
    <w:rsid w:val="00A90979"/>
    <w:rsid w:val="00BE11A2"/>
    <w:rsid w:val="00C7671F"/>
    <w:rsid w:val="00D8674A"/>
    <w:rsid w:val="00DA2356"/>
    <w:rsid w:val="00DA2499"/>
    <w:rsid w:val="00DC02FE"/>
    <w:rsid w:val="00DF41C4"/>
    <w:rsid w:val="00EC0956"/>
    <w:rsid w:val="00F15AC2"/>
    <w:rsid w:val="00FC4572"/>
    <w:rsid w:val="00FF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DF41C4"/>
    <w:rPr>
      <w:rFonts w:ascii="Segoe UI" w:hAnsi="Segoe UI" w:cs="Segoe UI"/>
      <w:sz w:val="18"/>
      <w:szCs w:val="18"/>
    </w:rPr>
  </w:style>
  <w:style w:type="character" w:customStyle="1" w:styleId="TekstdymkaZnak">
    <w:name w:val="Tekst dymka Znak"/>
    <w:basedOn w:val="Domylnaczcionkaakapitu"/>
    <w:link w:val="Tekstdymka"/>
    <w:uiPriority w:val="99"/>
    <w:rsid w:val="00DF41C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20308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2022-05-11T09:42:00Z</dcterms:created>
  <dcterms:modified xsi:type="dcterms:W3CDTF">2023-05-08T10:38:00Z</dcterms:modified>
</cp:coreProperties>
</file>